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11E" w:rsidRDefault="0040411E" w:rsidP="0040411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ANNOTED BIBLIOGRAPHY</w:t>
      </w:r>
    </w:p>
    <w:p w:rsidR="0040411E" w:rsidRPr="00825D91" w:rsidRDefault="0040411E" w:rsidP="004041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5D91">
        <w:rPr>
          <w:rFonts w:ascii="Times New Roman" w:hAnsi="Times New Roman" w:cs="Times New Roman"/>
          <w:sz w:val="24"/>
          <w:szCs w:val="24"/>
        </w:rPr>
        <w:t xml:space="preserve">Martin </w:t>
      </w:r>
      <w:proofErr w:type="spellStart"/>
      <w:r w:rsidRPr="00825D91">
        <w:rPr>
          <w:rFonts w:ascii="Times New Roman" w:hAnsi="Times New Roman" w:cs="Times New Roman"/>
          <w:sz w:val="24"/>
          <w:szCs w:val="24"/>
        </w:rPr>
        <w:t>Gerbert</w:t>
      </w:r>
      <w:proofErr w:type="spellEnd"/>
      <w:r w:rsidRPr="00825D91">
        <w:rPr>
          <w:rFonts w:ascii="Times New Roman" w:hAnsi="Times New Roman" w:cs="Times New Roman"/>
          <w:sz w:val="24"/>
          <w:szCs w:val="24"/>
        </w:rPr>
        <w:t xml:space="preserve">. “History of sacred music.” </w:t>
      </w:r>
      <w:r w:rsidRPr="00825D91">
        <w:rPr>
          <w:rFonts w:ascii="Times New Roman" w:hAnsi="Times New Roman" w:cs="Times New Roman"/>
          <w:i/>
          <w:sz w:val="24"/>
          <w:szCs w:val="24"/>
        </w:rPr>
        <w:t xml:space="preserve">De Cantu de </w:t>
      </w:r>
      <w:proofErr w:type="spellStart"/>
      <w:r w:rsidRPr="00825D91">
        <w:rPr>
          <w:rFonts w:ascii="Times New Roman" w:hAnsi="Times New Roman" w:cs="Times New Roman"/>
          <w:i/>
          <w:sz w:val="24"/>
          <w:szCs w:val="24"/>
        </w:rPr>
        <w:t>musica</w:t>
      </w:r>
      <w:proofErr w:type="spellEnd"/>
      <w:r w:rsidRPr="00825D91">
        <w:rPr>
          <w:rFonts w:ascii="Times New Roman" w:hAnsi="Times New Roman" w:cs="Times New Roman"/>
          <w:i/>
          <w:sz w:val="24"/>
          <w:szCs w:val="24"/>
        </w:rPr>
        <w:t xml:space="preserve"> sacra, </w:t>
      </w:r>
      <w:r w:rsidRPr="00825D91">
        <w:rPr>
          <w:rFonts w:ascii="Times New Roman" w:hAnsi="Times New Roman" w:cs="Times New Roman"/>
          <w:sz w:val="24"/>
          <w:szCs w:val="24"/>
        </w:rPr>
        <w:t>pp.201.  (1874).</w:t>
      </w:r>
    </w:p>
    <w:p w:rsidR="0040411E" w:rsidRDefault="0040411E" w:rsidP="0040411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Much work has been done in </w:t>
      </w:r>
      <w:r w:rsidR="002E16D3">
        <w:rPr>
          <w:rFonts w:ascii="Times New Roman" w:hAnsi="Times New Roman" w:cs="Times New Roman"/>
          <w:sz w:val="24"/>
          <w:szCs w:val="24"/>
        </w:rPr>
        <w:t>the research of music history. F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or instance in </w:t>
      </w:r>
      <w:r>
        <w:rPr>
          <w:rFonts w:ascii="Times New Roman" w:hAnsi="Times New Roman" w:cs="Times New Roman"/>
          <w:sz w:val="24"/>
          <w:szCs w:val="24"/>
        </w:rPr>
        <w:t>his book, Martin tells the history of sacred music in the ancient times as practiced in the African-American cultures.</w:t>
      </w:r>
    </w:p>
    <w:p w:rsidR="0040411E" w:rsidRPr="00825D91" w:rsidRDefault="0040411E" w:rsidP="0040411E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25D91">
        <w:rPr>
          <w:rFonts w:ascii="Times New Roman" w:hAnsi="Times New Roman" w:cs="Times New Roman"/>
          <w:sz w:val="24"/>
          <w:szCs w:val="24"/>
        </w:rPr>
        <w:t xml:space="preserve">John Williams. "Melodic themes that are associated with main characters.” </w:t>
      </w:r>
      <w:r w:rsidRPr="00825D91">
        <w:rPr>
          <w:rFonts w:ascii="Times New Roman" w:hAnsi="Times New Roman" w:cs="Times New Roman"/>
          <w:i/>
          <w:sz w:val="24"/>
          <w:szCs w:val="24"/>
        </w:rPr>
        <w:t xml:space="preserve">Star Wars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825D91">
        <w:rPr>
          <w:rFonts w:ascii="Times New Roman" w:hAnsi="Times New Roman" w:cs="Times New Roman"/>
          <w:i/>
          <w:sz w:val="24"/>
          <w:szCs w:val="24"/>
        </w:rPr>
        <w:t>movies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25D91">
        <w:rPr>
          <w:rFonts w:ascii="Times New Roman" w:hAnsi="Times New Roman" w:cs="Times New Roman"/>
          <w:sz w:val="24"/>
          <w:szCs w:val="24"/>
        </w:rPr>
        <w:t xml:space="preserve">pp.92-95. </w:t>
      </w:r>
      <w:proofErr w:type="spellStart"/>
      <w:r w:rsidRPr="00825D91">
        <w:rPr>
          <w:rFonts w:ascii="Times New Roman" w:hAnsi="Times New Roman" w:cs="Times New Roman"/>
          <w:sz w:val="24"/>
          <w:szCs w:val="24"/>
        </w:rPr>
        <w:t>Mc</w:t>
      </w:r>
      <w:proofErr w:type="spellEnd"/>
      <w:r w:rsidRPr="00825D91">
        <w:rPr>
          <w:rFonts w:ascii="Times New Roman" w:hAnsi="Times New Roman" w:cs="Times New Roman"/>
          <w:sz w:val="24"/>
          <w:szCs w:val="24"/>
        </w:rPr>
        <w:t>, 1994.</w:t>
      </w:r>
    </w:p>
    <w:p w:rsidR="0040411E" w:rsidRDefault="0040411E" w:rsidP="0040411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article, John Williams talks about themes that are used in music to create melody. He further says that the themes enhance music appreciation.</w:t>
      </w:r>
    </w:p>
    <w:p w:rsidR="0040411E" w:rsidRDefault="0040411E" w:rsidP="0040411E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CBA">
        <w:rPr>
          <w:rFonts w:ascii="Times New Roman" w:hAnsi="Times New Roman" w:cs="Times New Roman"/>
          <w:sz w:val="24"/>
          <w:szCs w:val="24"/>
        </w:rPr>
        <w:t>Venkit</w:t>
      </w:r>
      <w:proofErr w:type="spellEnd"/>
      <w:r w:rsidRPr="00145C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CBA">
        <w:rPr>
          <w:rFonts w:ascii="Times New Roman" w:hAnsi="Times New Roman" w:cs="Times New Roman"/>
          <w:sz w:val="24"/>
          <w:szCs w:val="24"/>
        </w:rPr>
        <w:t>Varun</w:t>
      </w:r>
      <w:proofErr w:type="spellEnd"/>
      <w:r w:rsidRPr="00145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CBA">
        <w:rPr>
          <w:rFonts w:ascii="Times New Roman" w:hAnsi="Times New Roman" w:cs="Times New Roman"/>
          <w:sz w:val="24"/>
          <w:szCs w:val="24"/>
        </w:rPr>
        <w:t>Ramnarayan</w:t>
      </w:r>
      <w:proofErr w:type="spellEnd"/>
      <w:r w:rsidRPr="00145C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CBA">
        <w:rPr>
          <w:rFonts w:ascii="Times New Roman" w:hAnsi="Times New Roman" w:cs="Times New Roman"/>
          <w:sz w:val="24"/>
          <w:szCs w:val="24"/>
        </w:rPr>
        <w:t>Amruta</w:t>
      </w:r>
      <w:proofErr w:type="spellEnd"/>
      <w:r w:rsidRPr="00145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CBA">
        <w:rPr>
          <w:rFonts w:ascii="Times New Roman" w:hAnsi="Times New Roman" w:cs="Times New Roman"/>
          <w:sz w:val="24"/>
          <w:szCs w:val="24"/>
        </w:rPr>
        <w:t>Anand</w:t>
      </w:r>
      <w:proofErr w:type="spellEnd"/>
      <w:r w:rsidRPr="00145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CBA">
        <w:rPr>
          <w:rFonts w:ascii="Times New Roman" w:hAnsi="Times New Roman" w:cs="Times New Roman"/>
          <w:sz w:val="24"/>
          <w:szCs w:val="24"/>
        </w:rPr>
        <w:t>Godse</w:t>
      </w:r>
      <w:proofErr w:type="spellEnd"/>
      <w:r w:rsidRPr="00145CBA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145CBA">
        <w:rPr>
          <w:rFonts w:ascii="Times New Roman" w:hAnsi="Times New Roman" w:cs="Times New Roman"/>
          <w:sz w:val="24"/>
          <w:szCs w:val="24"/>
        </w:rPr>
        <w:t>Anan</w:t>
      </w:r>
      <w:r>
        <w:rPr>
          <w:rFonts w:ascii="Times New Roman" w:hAnsi="Times New Roman" w:cs="Times New Roman"/>
          <w:sz w:val="24"/>
          <w:szCs w:val="24"/>
        </w:rPr>
        <w:t>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Godse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  <w:t xml:space="preserve">“Exploring the </w:t>
      </w:r>
      <w:r w:rsidRPr="00145CBA">
        <w:rPr>
          <w:rFonts w:ascii="Times New Roman" w:hAnsi="Times New Roman" w:cs="Times New Roman"/>
          <w:sz w:val="24"/>
          <w:szCs w:val="24"/>
        </w:rPr>
        <w:t xml:space="preserve">potentials of group drumming as a group therapy for young female </w:t>
      </w:r>
      <w:r>
        <w:rPr>
          <w:rFonts w:ascii="Times New Roman" w:hAnsi="Times New Roman" w:cs="Times New Roman"/>
          <w:sz w:val="24"/>
          <w:szCs w:val="24"/>
        </w:rPr>
        <w:tab/>
        <w:t xml:space="preserve">commercial sex </w:t>
      </w:r>
      <w:r w:rsidRPr="00145CBA">
        <w:rPr>
          <w:rFonts w:ascii="Times New Roman" w:hAnsi="Times New Roman" w:cs="Times New Roman"/>
          <w:sz w:val="24"/>
          <w:szCs w:val="24"/>
        </w:rPr>
        <w:t>workers in Mumbai, India.” </w:t>
      </w:r>
      <w:r w:rsidRPr="00145CBA">
        <w:rPr>
          <w:rFonts w:ascii="Times New Roman" w:hAnsi="Times New Roman" w:cs="Times New Roman"/>
          <w:i/>
          <w:iCs/>
          <w:sz w:val="24"/>
          <w:szCs w:val="24"/>
        </w:rPr>
        <w:t>Arts &amp; Health</w:t>
      </w:r>
      <w:r w:rsidRPr="00145CBA">
        <w:rPr>
          <w:rFonts w:ascii="Times New Roman" w:hAnsi="Times New Roman" w:cs="Times New Roman"/>
          <w:sz w:val="24"/>
          <w:szCs w:val="24"/>
        </w:rPr>
        <w:t xml:space="preserve"> 5, no. 2 (2013): </w:t>
      </w:r>
      <w:r>
        <w:rPr>
          <w:rFonts w:ascii="Times New Roman" w:hAnsi="Times New Roman" w:cs="Times New Roman"/>
          <w:sz w:val="24"/>
          <w:szCs w:val="24"/>
        </w:rPr>
        <w:tab/>
      </w:r>
      <w:r w:rsidRPr="00145CBA">
        <w:rPr>
          <w:rFonts w:ascii="Times New Roman" w:hAnsi="Times New Roman" w:cs="Times New Roman"/>
          <w:sz w:val="24"/>
          <w:szCs w:val="24"/>
        </w:rPr>
        <w:t xml:space="preserve">132-141. </w:t>
      </w:r>
    </w:p>
    <w:p w:rsidR="0040411E" w:rsidRDefault="0040411E" w:rsidP="0040411E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Group drumming creates harmony, unity and intellectual learning of music participants.</w:t>
      </w:r>
    </w:p>
    <w:p w:rsidR="0040411E" w:rsidRDefault="0040411E" w:rsidP="0040411E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CBA">
        <w:rPr>
          <w:rFonts w:ascii="Times New Roman" w:hAnsi="Times New Roman" w:cs="Times New Roman"/>
          <w:sz w:val="24"/>
          <w:szCs w:val="24"/>
        </w:rPr>
        <w:t xml:space="preserve">Jones, Jeffrey A. “Health </w:t>
      </w:r>
      <w:proofErr w:type="spellStart"/>
      <w:r w:rsidRPr="00145CBA">
        <w:rPr>
          <w:rFonts w:ascii="Times New Roman" w:hAnsi="Times New Roman" w:cs="Times New Roman"/>
          <w:sz w:val="24"/>
          <w:szCs w:val="24"/>
        </w:rPr>
        <w:t>musicking</w:t>
      </w:r>
      <w:proofErr w:type="spellEnd"/>
      <w:r w:rsidRPr="00145CB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45CBA">
        <w:rPr>
          <w:rFonts w:ascii="Times New Roman" w:hAnsi="Times New Roman" w:cs="Times New Roman"/>
          <w:sz w:val="24"/>
          <w:szCs w:val="24"/>
        </w:rPr>
        <w:t>Skiffle</w:t>
      </w:r>
      <w:proofErr w:type="spellEnd"/>
      <w:r w:rsidRPr="00145CBA">
        <w:rPr>
          <w:rFonts w:ascii="Times New Roman" w:hAnsi="Times New Roman" w:cs="Times New Roman"/>
          <w:sz w:val="24"/>
          <w:szCs w:val="24"/>
        </w:rPr>
        <w:t xml:space="preserve"> Steel Orchestra: Thoughts on </w:t>
      </w:r>
      <w:r>
        <w:rPr>
          <w:rFonts w:ascii="Times New Roman" w:hAnsi="Times New Roman" w:cs="Times New Roman"/>
          <w:sz w:val="24"/>
          <w:szCs w:val="24"/>
        </w:rPr>
        <w:tab/>
      </w:r>
      <w:r w:rsidRPr="00145CBA">
        <w:rPr>
          <w:rFonts w:ascii="Times New Roman" w:hAnsi="Times New Roman" w:cs="Times New Roman"/>
          <w:sz w:val="24"/>
          <w:szCs w:val="24"/>
        </w:rPr>
        <w:t xml:space="preserve">collaboration </w:t>
      </w:r>
      <w:r w:rsidRPr="00145CBA">
        <w:rPr>
          <w:rFonts w:ascii="Times New Roman" w:hAnsi="Times New Roman" w:cs="Times New Roman"/>
          <w:sz w:val="24"/>
          <w:szCs w:val="24"/>
        </w:rPr>
        <w:tab/>
        <w:t xml:space="preserve">between community music therapy and medical </w:t>
      </w:r>
      <w:r>
        <w:rPr>
          <w:rFonts w:ascii="Times New Roman" w:hAnsi="Times New Roman" w:cs="Times New Roman"/>
          <w:sz w:val="24"/>
          <w:szCs w:val="24"/>
        </w:rPr>
        <w:tab/>
      </w:r>
      <w:r w:rsidRPr="00145CBA">
        <w:rPr>
          <w:rFonts w:ascii="Times New Roman" w:hAnsi="Times New Roman" w:cs="Times New Roman"/>
          <w:sz w:val="24"/>
          <w:szCs w:val="24"/>
        </w:rPr>
        <w:t>ethnomusicology.” </w:t>
      </w:r>
      <w:r w:rsidRPr="00145CBA">
        <w:rPr>
          <w:rFonts w:ascii="Times New Roman" w:hAnsi="Times New Roman" w:cs="Times New Roman"/>
          <w:i/>
          <w:iCs/>
          <w:sz w:val="24"/>
          <w:szCs w:val="24"/>
        </w:rPr>
        <w:t>International Journal of Community Music</w:t>
      </w:r>
      <w:r w:rsidRPr="00145CBA">
        <w:rPr>
          <w:rFonts w:ascii="Times New Roman" w:hAnsi="Times New Roman" w:cs="Times New Roman"/>
          <w:sz w:val="24"/>
          <w:szCs w:val="24"/>
        </w:rPr>
        <w:t xml:space="preserve"> 7, no. 1 (2014): </w:t>
      </w:r>
      <w:r>
        <w:rPr>
          <w:rFonts w:ascii="Times New Roman" w:hAnsi="Times New Roman" w:cs="Times New Roman"/>
          <w:sz w:val="24"/>
          <w:szCs w:val="24"/>
        </w:rPr>
        <w:tab/>
      </w:r>
      <w:r w:rsidRPr="00145CBA">
        <w:rPr>
          <w:rFonts w:ascii="Times New Roman" w:hAnsi="Times New Roman" w:cs="Times New Roman"/>
          <w:sz w:val="24"/>
          <w:szCs w:val="24"/>
        </w:rPr>
        <w:t>129-144.</w:t>
      </w:r>
    </w:p>
    <w:p w:rsidR="0040411E" w:rsidRDefault="0040411E" w:rsidP="0040411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Jones in his books explains how music creates community therapy. People come together during harvesting periods, and end year ceremonies to socialize and this reduces conflicts within the community.</w:t>
      </w:r>
    </w:p>
    <w:sectPr w:rsidR="00404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1E"/>
    <w:rsid w:val="002E16D3"/>
    <w:rsid w:val="003039F5"/>
    <w:rsid w:val="0040411E"/>
    <w:rsid w:val="00E9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6D5BB3-C99A-468B-B218-909098E4E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11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2018-04-07T04:27:00Z</dcterms:created>
  <dcterms:modified xsi:type="dcterms:W3CDTF">2018-04-07T04:29:00Z</dcterms:modified>
</cp:coreProperties>
</file>